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5E6999" w:rsidP="00200D13">
            <w:pPr>
              <w:pStyle w:val="Ttulo"/>
            </w:pPr>
            <w:bookmarkStart w:id="0" w:name="_GoBack"/>
            <w:r>
              <w:t>ANEJO 10  PLAN DE CONTROL DE CALIDAD</w:t>
            </w:r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A86" w:rsidRDefault="007C1A86" w:rsidP="006426FB">
      <w:r>
        <w:separator/>
      </w:r>
    </w:p>
  </w:endnote>
  <w:endnote w:type="continuationSeparator" w:id="0">
    <w:p w:rsidR="007C1A86" w:rsidRDefault="007C1A86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</w:t>
    </w:r>
    <w:r w:rsidR="005E6999">
      <w:rPr>
        <w:rFonts w:ascii="Century Gothic" w:hAnsi="Century Gothic" w:cs="Arial"/>
        <w:b/>
        <w:color w:val="0070C0"/>
        <w:sz w:val="12"/>
        <w:szCs w:val="12"/>
      </w:rPr>
      <w:t>ANEJO 10  PLAN DE CONTROL DE CALIDAD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A86" w:rsidRDefault="007C1A86" w:rsidP="006426FB">
      <w:r>
        <w:separator/>
      </w:r>
    </w:p>
  </w:footnote>
  <w:footnote w:type="continuationSeparator" w:id="0">
    <w:p w:rsidR="007C1A86" w:rsidRDefault="007C1A86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A6A73"/>
    <w:rsid w:val="002B2329"/>
    <w:rsid w:val="00334E5C"/>
    <w:rsid w:val="003917B1"/>
    <w:rsid w:val="00396458"/>
    <w:rsid w:val="003D79D5"/>
    <w:rsid w:val="005949AD"/>
    <w:rsid w:val="005E6999"/>
    <w:rsid w:val="006426FB"/>
    <w:rsid w:val="007C1A86"/>
    <w:rsid w:val="008161BB"/>
    <w:rsid w:val="0097074A"/>
    <w:rsid w:val="00B23556"/>
    <w:rsid w:val="00B26ABB"/>
    <w:rsid w:val="00C10868"/>
    <w:rsid w:val="00CE5FA3"/>
    <w:rsid w:val="00D87617"/>
    <w:rsid w:val="00DC3C3F"/>
    <w:rsid w:val="00E84CA0"/>
    <w:rsid w:val="00EA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2015-11-05T17:19:00Z</cp:lastPrinted>
  <dcterms:created xsi:type="dcterms:W3CDTF">2015-11-05T17:20:00Z</dcterms:created>
  <dcterms:modified xsi:type="dcterms:W3CDTF">2015-11-05T17:20:00Z</dcterms:modified>
</cp:coreProperties>
</file>